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DC" w:rsidRDefault="00A03ADC" w:rsidP="00A03ADC">
      <w:pPr>
        <w:widowControl/>
        <w:autoSpaceDE/>
        <w:adjustRightInd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ГЛАВА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03ADC" w:rsidRDefault="00A03ADC" w:rsidP="00A03ADC">
      <w:pPr>
        <w:widowControl/>
        <w:autoSpaceDE/>
        <w:adjustRightInd/>
        <w:ind w:left="-709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Чү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tt-RU"/>
        </w:rPr>
        <w:t>пр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tt-RU"/>
        </w:rPr>
        <w:t>әле муниципаль районы</w:t>
      </w:r>
    </w:p>
    <w:p w:rsidR="00A03ADC" w:rsidRDefault="00A03ADC" w:rsidP="00A03ADC">
      <w:pPr>
        <w:keepNext/>
        <w:widowControl/>
        <w:autoSpaceDE/>
        <w:adjustRightInd/>
        <w:ind w:left="-1560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Дрожжановского  муниципального района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Зур Чынлы авыл җирлеге</w:t>
      </w:r>
    </w:p>
    <w:p w:rsidR="00A03ADC" w:rsidRDefault="00A03ADC" w:rsidP="00A03ADC">
      <w:pPr>
        <w:keepNext/>
        <w:widowControl/>
        <w:autoSpaceDE/>
        <w:adjustRightInd/>
        <w:ind w:left="-1560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Республики Татарстан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БАШЛЫГЫ</w:t>
      </w:r>
    </w:p>
    <w:p w:rsidR="00A03ADC" w:rsidRDefault="00A03ADC" w:rsidP="00A03ADC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A03ADC" w:rsidRDefault="00A03ADC" w:rsidP="00A03ADC">
      <w:pPr>
        <w:widowControl/>
        <w:autoSpaceDE/>
        <w:adjustRightInd/>
        <w:rPr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422461, Республика Татарстан,  Дрожжановский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Цильна,                        ул. Советская, 13  тел.(84375)38-6-16,  факс 38-6-35                 </w:t>
      </w:r>
      <w:hyperlink r:id="rId6" w:history="1">
        <w:r>
          <w:rPr>
            <w:rStyle w:val="a3"/>
            <w:bCs/>
          </w:rPr>
          <w:t>Bcel.Drz@tatar.ru</w:t>
        </w:r>
      </w:hyperlink>
    </w:p>
    <w:p w:rsidR="00A03ADC" w:rsidRDefault="00A03ADC" w:rsidP="00A03ADC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</w:rPr>
        <w:t>___________________________________________________________________________________</w:t>
      </w:r>
    </w:p>
    <w:p w:rsidR="00A03ADC" w:rsidRDefault="00A03ADC" w:rsidP="00A03ADC">
      <w:pPr>
        <w:pStyle w:val="Style4"/>
        <w:ind w:firstLine="0"/>
        <w:rPr>
          <w:color w:val="000000"/>
          <w:spacing w:val="-2"/>
          <w:sz w:val="28"/>
          <w:szCs w:val="28"/>
        </w:rPr>
      </w:pPr>
    </w:p>
    <w:p w:rsidR="00A03ADC" w:rsidRDefault="00A03ADC" w:rsidP="00A03ADC">
      <w:pPr>
        <w:spacing w:line="240" w:lineRule="atLeast"/>
        <w:rPr>
          <w:b/>
          <w:bCs/>
        </w:rPr>
      </w:pPr>
    </w:p>
    <w:p w:rsidR="00A03ADC" w:rsidRDefault="00A03ADC" w:rsidP="00A03ADC">
      <w:pPr>
        <w:spacing w:line="240" w:lineRule="atLeast"/>
        <w:rPr>
          <w:b/>
          <w:bCs/>
        </w:rPr>
      </w:pPr>
      <w:r>
        <w:rPr>
          <w:b/>
          <w:bCs/>
        </w:rPr>
        <w:t xml:space="preserve"> ПОСТАНОВЛЕНИЕ                                                                                                                           КАРАР</w:t>
      </w:r>
    </w:p>
    <w:p w:rsidR="00A03ADC" w:rsidRDefault="00A03ADC" w:rsidP="00A03ADC">
      <w:pPr>
        <w:tabs>
          <w:tab w:val="left" w:pos="7200"/>
        </w:tabs>
        <w:rPr>
          <w:sz w:val="28"/>
          <w:szCs w:val="28"/>
        </w:rPr>
      </w:pPr>
    </w:p>
    <w:p w:rsidR="00A03ADC" w:rsidRDefault="00A03ADC" w:rsidP="00A03ADC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от 24.06.2014 г.</w:t>
      </w:r>
      <w:r>
        <w:rPr>
          <w:sz w:val="28"/>
          <w:szCs w:val="28"/>
        </w:rPr>
        <w:tab/>
        <w:t xml:space="preserve">                     №5</w:t>
      </w:r>
    </w:p>
    <w:p w:rsidR="00A03ADC" w:rsidRDefault="00A03ADC" w:rsidP="00A03ADC">
      <w:pPr>
        <w:tabs>
          <w:tab w:val="left" w:pos="2835"/>
        </w:tabs>
        <w:rPr>
          <w:sz w:val="28"/>
          <w:szCs w:val="28"/>
        </w:rPr>
      </w:pPr>
    </w:p>
    <w:p w:rsidR="00A03ADC" w:rsidRDefault="00A03ADC" w:rsidP="00A03ADC">
      <w:pPr>
        <w:pStyle w:val="ConsPlusTitle"/>
        <w:widowControl/>
        <w:ind w:right="5017"/>
        <w:jc w:val="both"/>
        <w:outlineLvl w:val="1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 xml:space="preserve">Об утверждении муниципальной программы  "Комплексное  развитие  систем коммунальной инфраструктуры </w:t>
      </w:r>
      <w:proofErr w:type="spellStart"/>
      <w:r>
        <w:rPr>
          <w:b w:val="0"/>
          <w:color w:val="000000"/>
          <w:spacing w:val="-2"/>
        </w:rPr>
        <w:t>Большецильнинского</w:t>
      </w:r>
      <w:proofErr w:type="spellEnd"/>
      <w:r>
        <w:rPr>
          <w:b w:val="0"/>
          <w:color w:val="000000"/>
          <w:spacing w:val="-2"/>
        </w:rPr>
        <w:t xml:space="preserve"> </w:t>
      </w:r>
      <w:proofErr w:type="gramStart"/>
      <w:r>
        <w:rPr>
          <w:b w:val="0"/>
          <w:color w:val="000000"/>
          <w:spacing w:val="-2"/>
        </w:rPr>
        <w:t>сельского</w:t>
      </w:r>
      <w:proofErr w:type="gramEnd"/>
      <w:r>
        <w:rPr>
          <w:b w:val="0"/>
          <w:color w:val="000000"/>
          <w:spacing w:val="-2"/>
        </w:rPr>
        <w:t xml:space="preserve"> поселения Дрожжановского муниципального  района  Республики Татарстан на 2014-2016 годы"      </w:t>
      </w:r>
    </w:p>
    <w:p w:rsidR="00A03ADC" w:rsidRDefault="00A03ADC" w:rsidP="00A03ADC">
      <w:pPr>
        <w:pStyle w:val="ConsPlusTitle"/>
        <w:widowControl/>
        <w:ind w:right="5017"/>
        <w:jc w:val="both"/>
        <w:outlineLvl w:val="1"/>
        <w:rPr>
          <w:b w:val="0"/>
          <w:color w:val="000000"/>
          <w:spacing w:val="-2"/>
        </w:rPr>
      </w:pPr>
    </w:p>
    <w:p w:rsidR="00A03ADC" w:rsidRDefault="00A03ADC" w:rsidP="00A03ADC">
      <w:pPr>
        <w:pStyle w:val="ConsPlusTitle"/>
        <w:widowControl/>
        <w:ind w:right="5017"/>
        <w:jc w:val="both"/>
        <w:outlineLvl w:val="1"/>
        <w:rPr>
          <w:b w:val="0"/>
          <w:color w:val="000000"/>
          <w:spacing w:val="-2"/>
        </w:rPr>
      </w:pPr>
    </w:p>
    <w:p w:rsidR="00A03ADC" w:rsidRDefault="00A03ADC" w:rsidP="00A03ADC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 xml:space="preserve">          В соответствии с Бюджетным кодексом РФ, Уставом </w:t>
      </w:r>
      <w:proofErr w:type="spellStart"/>
      <w:r>
        <w:rPr>
          <w:b w:val="0"/>
          <w:color w:val="000000"/>
          <w:spacing w:val="-2"/>
        </w:rPr>
        <w:t>Большецильнинского</w:t>
      </w:r>
      <w:proofErr w:type="spellEnd"/>
      <w:r>
        <w:rPr>
          <w:b w:val="0"/>
          <w:color w:val="000000"/>
          <w:spacing w:val="-2"/>
        </w:rPr>
        <w:t xml:space="preserve"> сельского поселения   Дрожжановского муниципального  района  Исполнительный комитет </w:t>
      </w:r>
      <w:proofErr w:type="spellStart"/>
      <w:r>
        <w:rPr>
          <w:b w:val="0"/>
          <w:color w:val="000000"/>
          <w:spacing w:val="-2"/>
        </w:rPr>
        <w:t>Большецильнинского</w:t>
      </w:r>
      <w:proofErr w:type="spellEnd"/>
      <w:r>
        <w:rPr>
          <w:b w:val="0"/>
          <w:color w:val="000000"/>
          <w:spacing w:val="-2"/>
        </w:rPr>
        <w:t xml:space="preserve"> сельского поселения ПОСТАНОВЛЯЕТ:</w:t>
      </w:r>
    </w:p>
    <w:p w:rsidR="00A03ADC" w:rsidRDefault="00A03ADC" w:rsidP="00A03ADC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 xml:space="preserve">        Утвердить прилагаемую   муниципальную программу  "Комплексное  развитие  систем коммунальной инфраструктуры </w:t>
      </w:r>
      <w:proofErr w:type="spellStart"/>
      <w:r>
        <w:rPr>
          <w:b w:val="0"/>
          <w:color w:val="000000"/>
          <w:spacing w:val="-2"/>
        </w:rPr>
        <w:t>Большецильнинского</w:t>
      </w:r>
      <w:proofErr w:type="spellEnd"/>
      <w:r>
        <w:rPr>
          <w:b w:val="0"/>
          <w:color w:val="000000"/>
          <w:spacing w:val="-2"/>
        </w:rPr>
        <w:t xml:space="preserve"> сельского поселения Дрожжановского муниципального  района  Республики Татарстан на 2014-2016 годы".</w:t>
      </w:r>
    </w:p>
    <w:p w:rsidR="00A03ADC" w:rsidRDefault="00A03ADC" w:rsidP="00A03ADC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</w:p>
    <w:p w:rsidR="00A03ADC" w:rsidRDefault="00A03ADC" w:rsidP="00A03ADC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</w:p>
    <w:p w:rsidR="00A03ADC" w:rsidRDefault="00A03ADC" w:rsidP="00A03ADC">
      <w:pPr>
        <w:tabs>
          <w:tab w:val="left" w:pos="1125"/>
        </w:tabs>
        <w:rPr>
          <w:sz w:val="28"/>
          <w:szCs w:val="28"/>
        </w:rPr>
      </w:pPr>
    </w:p>
    <w:p w:rsidR="00A03ADC" w:rsidRDefault="00A03ADC" w:rsidP="00A03AD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A03ADC" w:rsidRDefault="00A03ADC" w:rsidP="00A03AD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Дрожжановского муниципального района </w:t>
      </w:r>
    </w:p>
    <w:p w:rsidR="00A03ADC" w:rsidRDefault="00A03ADC" w:rsidP="00A03AD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Татарстан: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Ф.С.Халиуллов</w:t>
      </w:r>
      <w:proofErr w:type="spellEnd"/>
    </w:p>
    <w:p w:rsidR="00A03ADC" w:rsidRDefault="00A03ADC" w:rsidP="00A03AD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3ADC" w:rsidRDefault="00A03ADC" w:rsidP="00A03ADC">
      <w:pPr>
        <w:pStyle w:val="ConsPlusTitle"/>
        <w:widowControl/>
        <w:jc w:val="right"/>
        <w:outlineLvl w:val="1"/>
        <w:rPr>
          <w:color w:val="800000"/>
          <w:spacing w:val="-2"/>
          <w:sz w:val="32"/>
          <w:szCs w:val="32"/>
        </w:rPr>
      </w:pPr>
      <w:r>
        <w:rPr>
          <w:color w:val="800000"/>
          <w:spacing w:val="-2"/>
          <w:sz w:val="32"/>
          <w:szCs w:val="32"/>
        </w:rPr>
        <w:t xml:space="preserve"> </w:t>
      </w: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40"/>
          <w:szCs w:val="40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40"/>
          <w:szCs w:val="40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8000"/>
          <w:spacing w:val="-2"/>
          <w:sz w:val="40"/>
          <w:szCs w:val="40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8000"/>
          <w:spacing w:val="-2"/>
          <w:sz w:val="40"/>
          <w:szCs w:val="40"/>
        </w:rPr>
      </w:pPr>
      <w:r>
        <w:rPr>
          <w:color w:val="008000"/>
          <w:spacing w:val="-2"/>
          <w:sz w:val="40"/>
          <w:szCs w:val="40"/>
        </w:rPr>
        <w:t xml:space="preserve">                                                 </w:t>
      </w: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</w:t>
      </w: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color w:val="800000"/>
          <w:spacing w:val="-2"/>
          <w:sz w:val="24"/>
          <w:szCs w:val="24"/>
        </w:rPr>
        <w:t xml:space="preserve"> </w:t>
      </w:r>
      <w:r>
        <w:rPr>
          <w:b w:val="0"/>
          <w:color w:val="800000"/>
          <w:spacing w:val="-2"/>
          <w:sz w:val="20"/>
          <w:szCs w:val="20"/>
        </w:rPr>
        <w:t>Утвержден: Постановлением</w:t>
      </w:r>
    </w:p>
    <w:p w:rsidR="00A03ADC" w:rsidRDefault="00A03ADC" w:rsidP="00A03ADC">
      <w:pPr>
        <w:pStyle w:val="ConsPlusTitle"/>
        <w:widowControl/>
        <w:tabs>
          <w:tab w:val="left" w:pos="7175"/>
        </w:tabs>
        <w:outlineLvl w:val="1"/>
        <w:rPr>
          <w:b w:val="0"/>
          <w:color w:val="800000"/>
          <w:spacing w:val="-2"/>
          <w:sz w:val="20"/>
          <w:szCs w:val="20"/>
        </w:rPr>
      </w:pPr>
      <w:r>
        <w:rPr>
          <w:b w:val="0"/>
          <w:color w:val="800000"/>
          <w:spacing w:val="-2"/>
          <w:sz w:val="20"/>
          <w:szCs w:val="20"/>
        </w:rPr>
        <w:tab/>
        <w:t xml:space="preserve">     Исполнительного комитета</w:t>
      </w:r>
    </w:p>
    <w:p w:rsidR="00A03ADC" w:rsidRDefault="00A03ADC" w:rsidP="00A03ADC">
      <w:pPr>
        <w:pStyle w:val="ConsPlusTitle"/>
        <w:widowControl/>
        <w:tabs>
          <w:tab w:val="left" w:pos="7213"/>
        </w:tabs>
        <w:outlineLvl w:val="1"/>
        <w:rPr>
          <w:b w:val="0"/>
          <w:color w:val="800000"/>
          <w:spacing w:val="-2"/>
          <w:sz w:val="20"/>
          <w:szCs w:val="20"/>
        </w:rPr>
      </w:pPr>
      <w:r>
        <w:rPr>
          <w:b w:val="0"/>
          <w:color w:val="800000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proofErr w:type="spellStart"/>
      <w:r>
        <w:rPr>
          <w:b w:val="0"/>
          <w:color w:val="800000"/>
          <w:spacing w:val="-2"/>
          <w:sz w:val="20"/>
          <w:szCs w:val="20"/>
        </w:rPr>
        <w:t>Большецильнинского</w:t>
      </w:r>
      <w:proofErr w:type="spellEnd"/>
      <w:r>
        <w:rPr>
          <w:b w:val="0"/>
          <w:color w:val="800000"/>
          <w:spacing w:val="-2"/>
          <w:sz w:val="20"/>
          <w:szCs w:val="20"/>
        </w:rPr>
        <w:t xml:space="preserve">  сельского </w:t>
      </w:r>
    </w:p>
    <w:p w:rsidR="00A03ADC" w:rsidRDefault="00A03ADC" w:rsidP="00A03ADC">
      <w:pPr>
        <w:pStyle w:val="ConsPlusTitle"/>
        <w:widowControl/>
        <w:tabs>
          <w:tab w:val="left" w:pos="7213"/>
        </w:tabs>
        <w:outlineLvl w:val="1"/>
        <w:rPr>
          <w:b w:val="0"/>
          <w:color w:val="800000"/>
          <w:spacing w:val="-2"/>
          <w:sz w:val="20"/>
          <w:szCs w:val="20"/>
        </w:rPr>
      </w:pPr>
      <w:r>
        <w:rPr>
          <w:b w:val="0"/>
          <w:color w:val="800000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поселения  Дрожжановского                 </w:t>
      </w:r>
    </w:p>
    <w:p w:rsidR="00A03ADC" w:rsidRDefault="00A03ADC" w:rsidP="00A03ADC">
      <w:pPr>
        <w:pStyle w:val="ConsPlusTitle"/>
        <w:widowControl/>
        <w:tabs>
          <w:tab w:val="left" w:pos="7213"/>
        </w:tabs>
        <w:outlineLvl w:val="1"/>
        <w:rPr>
          <w:b w:val="0"/>
          <w:color w:val="800000"/>
          <w:spacing w:val="-2"/>
          <w:sz w:val="20"/>
          <w:szCs w:val="20"/>
        </w:rPr>
      </w:pPr>
      <w:r>
        <w:rPr>
          <w:b w:val="0"/>
          <w:color w:val="800000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муниципального  района </w:t>
      </w:r>
    </w:p>
    <w:p w:rsidR="00A03ADC" w:rsidRDefault="00A03ADC" w:rsidP="00A03ADC">
      <w:pPr>
        <w:pStyle w:val="ConsPlusTitle"/>
        <w:widowControl/>
        <w:tabs>
          <w:tab w:val="left" w:pos="7213"/>
        </w:tabs>
        <w:outlineLvl w:val="1"/>
        <w:rPr>
          <w:b w:val="0"/>
          <w:color w:val="800000"/>
          <w:spacing w:val="-2"/>
          <w:sz w:val="20"/>
          <w:szCs w:val="20"/>
        </w:rPr>
      </w:pPr>
      <w:r>
        <w:rPr>
          <w:b w:val="0"/>
          <w:color w:val="800000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Республики Татарстан</w:t>
      </w:r>
    </w:p>
    <w:p w:rsidR="00A03ADC" w:rsidRDefault="00A03ADC" w:rsidP="00A03ADC">
      <w:pPr>
        <w:pStyle w:val="ConsPlusTitle"/>
        <w:widowControl/>
        <w:tabs>
          <w:tab w:val="left" w:pos="7213"/>
        </w:tabs>
        <w:outlineLvl w:val="1"/>
        <w:rPr>
          <w:b w:val="0"/>
          <w:color w:val="800000"/>
          <w:spacing w:val="-2"/>
          <w:sz w:val="20"/>
          <w:szCs w:val="20"/>
        </w:rPr>
      </w:pPr>
      <w:r>
        <w:rPr>
          <w:b w:val="0"/>
          <w:color w:val="800000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от  24 июня  2014 г. №5</w:t>
      </w:r>
    </w:p>
    <w:p w:rsidR="00A03ADC" w:rsidRDefault="00A03ADC" w:rsidP="00A03ADC">
      <w:pPr>
        <w:pStyle w:val="ConsPlusTitle"/>
        <w:widowControl/>
        <w:jc w:val="center"/>
        <w:outlineLvl w:val="1"/>
        <w:rPr>
          <w:color w:val="800000"/>
          <w:spacing w:val="-2"/>
          <w:sz w:val="52"/>
          <w:szCs w:val="52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800000"/>
          <w:spacing w:val="-2"/>
          <w:sz w:val="52"/>
          <w:szCs w:val="52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800000"/>
          <w:spacing w:val="-2"/>
          <w:sz w:val="52"/>
          <w:szCs w:val="52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800000"/>
          <w:spacing w:val="-2"/>
          <w:sz w:val="52"/>
          <w:szCs w:val="52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800000"/>
          <w:sz w:val="52"/>
          <w:szCs w:val="52"/>
        </w:rPr>
      </w:pPr>
      <w:r>
        <w:rPr>
          <w:color w:val="800000"/>
          <w:spacing w:val="-2"/>
          <w:sz w:val="52"/>
          <w:szCs w:val="52"/>
        </w:rPr>
        <w:t>ПОДПРОГРАММА</w:t>
      </w: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  <w:t xml:space="preserve">«Комплексное развитие систем коммунальной инфраструктуры </w:t>
      </w:r>
    </w:p>
    <w:p w:rsidR="00A03ADC" w:rsidRDefault="00A03ADC" w:rsidP="00A03ADC">
      <w:pPr>
        <w:shd w:val="clear" w:color="auto" w:fill="FFFFFF"/>
        <w:ind w:left="142"/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  <w:t>Большецильнинского</w:t>
      </w:r>
      <w:proofErr w:type="spellEnd"/>
      <w:r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  <w:t xml:space="preserve"> сельского поселения</w:t>
      </w:r>
    </w:p>
    <w:p w:rsidR="00A03ADC" w:rsidRDefault="00A03ADC" w:rsidP="00A03ADC">
      <w:pPr>
        <w:shd w:val="clear" w:color="auto" w:fill="FFFFFF"/>
        <w:tabs>
          <w:tab w:val="left" w:pos="1080"/>
        </w:tabs>
        <w:ind w:left="142"/>
        <w:jc w:val="center"/>
        <w:rPr>
          <w:rFonts w:ascii="Times New Roman" w:hAnsi="Times New Roman" w:cs="Times New Roman"/>
          <w:b/>
          <w:bCs/>
          <w:color w:val="800000"/>
          <w:spacing w:val="-3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800000"/>
          <w:spacing w:val="-3"/>
          <w:sz w:val="52"/>
          <w:szCs w:val="52"/>
        </w:rPr>
        <w:t>Дрожжановского муниципального района Республики Татарстан</w:t>
      </w:r>
    </w:p>
    <w:p w:rsidR="00A03ADC" w:rsidRDefault="00A03ADC" w:rsidP="00A03ADC">
      <w:pPr>
        <w:shd w:val="clear" w:color="auto" w:fill="FFFFFF"/>
        <w:tabs>
          <w:tab w:val="left" w:pos="1080"/>
        </w:tabs>
        <w:ind w:left="142"/>
        <w:jc w:val="center"/>
        <w:rPr>
          <w:rFonts w:ascii="Times New Roman" w:hAnsi="Times New Roman" w:cs="Times New Roman"/>
          <w:b/>
          <w:bCs/>
          <w:color w:val="8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  <w:t xml:space="preserve"> на 2014-2016 годы»</w:t>
      </w: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800000"/>
          <w:spacing w:val="-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320675</wp:posOffset>
                </wp:positionV>
                <wp:extent cx="914400" cy="457200"/>
                <wp:effectExtent l="0" t="0" r="0" b="3175"/>
                <wp:wrapTight wrapText="bothSides">
                  <wp:wrapPolygon edited="0">
                    <wp:start x="-225" y="0"/>
                    <wp:lineTo x="-225" y="21150"/>
                    <wp:lineTo x="21600" y="21150"/>
                    <wp:lineTo x="21600" y="0"/>
                    <wp:lineTo x="-225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in;margin-top:25.2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" stroked="f"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  <w:t>2014 г.</w:t>
      </w:r>
    </w:p>
    <w:p w:rsidR="00A03ADC" w:rsidRDefault="00A03ADC" w:rsidP="00A03AD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color w:val="000000"/>
          <w:spacing w:val="-2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Паспорт программы</w:t>
      </w:r>
    </w:p>
    <w:tbl>
      <w:tblPr>
        <w:tblW w:w="1038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13"/>
        <w:gridCol w:w="7667"/>
      </w:tblGrid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3ADC" w:rsidRDefault="00A03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 "Комплексное  развитие  систем   коммунальной инфраструктуры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 района  Республики Татарстан на 2014-2016 годы" (далее - Программа)                      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3ADC" w:rsidRDefault="00A03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30.12.2004 № 210-ФЗ  "Об основах регулирования тарифов  организаций  для  коммунального комплекса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ред. Федеральных законов от 26.12.2005 №</w:t>
            </w:r>
            <w:r>
              <w:rPr>
                <w:rStyle w:val="s111"/>
                <w:rFonts w:ascii="Times New Roman" w:hAnsi="Times New Roman" w:cs="Times New Roman"/>
                <w:sz w:val="28"/>
                <w:szCs w:val="28"/>
              </w:rPr>
              <w:t xml:space="preserve"> 184-ФЗ,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19.12.2006 № 258-ФЗ);    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Дрожжановского муниципального района РТ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Разработчики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Дрожжановского муниципального района РТ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Дрожжановского муниципального района РТ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pStyle w:val="a4"/>
              <w:tabs>
                <w:tab w:val="left" w:pos="9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развитие и модернизация систем теплоснабжения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одоснабжения, водоотведения и захоронения (утилизация) твёрдых бытовых отходов;</w:t>
            </w:r>
          </w:p>
          <w:p w:rsidR="00A03ADC" w:rsidRDefault="00A03ADC">
            <w:pPr>
              <w:pStyle w:val="a4"/>
              <w:tabs>
                <w:tab w:val="left" w:pos="9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качественное и надежное обеспечение наиболее экономичным образом потребителей коммунальными услугами в соответствии с требованиями действующих норм и стандартов;</w:t>
            </w:r>
          </w:p>
          <w:p w:rsidR="00A03ADC" w:rsidRDefault="00A03ADC">
            <w:pPr>
              <w:pStyle w:val="a4"/>
              <w:tabs>
                <w:tab w:val="left" w:pos="9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стабилизация стоимости коммунальных услуг для потребителей;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рациональное использование водных ресурсов и энергосбережение</w:t>
            </w:r>
          </w:p>
        </w:tc>
      </w:tr>
      <w:tr w:rsidR="00A03ADC" w:rsidTr="00A03ADC">
        <w:trPr>
          <w:trHeight w:val="319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</w:t>
            </w:r>
          </w:p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сокращение количества аварий и отказов в работе оборудования;</w:t>
            </w:r>
          </w:p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пропускной способности сетей;</w:t>
            </w:r>
          </w:p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уменьшение потерь в системах коммунальной инфраструктуры;</w:t>
            </w:r>
          </w:p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замена морально устаревшего и физически изношенного оборудования;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возможности подключения к существующим сетям новым застройщикам.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2014-2016 годы</w:t>
            </w:r>
          </w:p>
        </w:tc>
      </w:tr>
      <w:tr w:rsidR="00A03ADC" w:rsidTr="00A03ADC">
        <w:trPr>
          <w:trHeight w:val="98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программных мероприятий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мероприятия по строительству и модернизации систем  теплоснабжения, водоснабжения, водоотведения и утилизации (захоронения) твердых бытовых отходов 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 реализуется  на   территории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района. Координатором  Подпрограммы  является Исполнительный  комитет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 муниципального района. 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Исполнительный комитет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района  в  пределах  своих полномочий в соответствии с законодательством       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и источники  финансирования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финансирования: - 1300,0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 Дрожжановского муниципального района: - 900,0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поселения: 400,0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надежность и качество оказываемых жилищно-коммунальных услуг;</w:t>
            </w:r>
          </w:p>
          <w:p w:rsidR="00A03ADC" w:rsidRDefault="00A03ADC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функционирования организаций коммунальной инфраструктуры, использования топливно-энергетических и  водных ресурсов в системе ЖКХ;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инвестиционной привлекательности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района.</w:t>
            </w:r>
          </w:p>
        </w:tc>
      </w:tr>
    </w:tbl>
    <w:p w:rsidR="00A03ADC" w:rsidRDefault="00A03ADC" w:rsidP="00A03ADC">
      <w:pPr>
        <w:shd w:val="clear" w:color="auto" w:fill="FFFFFF"/>
        <w:ind w:left="142"/>
        <w:jc w:val="center"/>
        <w:rPr>
          <w:color w:val="000000"/>
          <w:spacing w:val="-2"/>
          <w:sz w:val="24"/>
          <w:szCs w:val="24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Цели и задачи Программы</w:t>
      </w:r>
    </w:p>
    <w:p w:rsidR="00A03ADC" w:rsidRDefault="00A03ADC" w:rsidP="00A03A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ADC" w:rsidRDefault="00A03ADC" w:rsidP="00A03ADC">
      <w:pPr>
        <w:shd w:val="clear" w:color="auto" w:fill="FFFFFF"/>
        <w:spacing w:line="360" w:lineRule="auto"/>
        <w:ind w:left="29" w:firstLine="5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Настоящая Подпрограмма направлена на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качественное преобразование всей системы предоставления коммунальных услуг населению, организациям и предприятиям 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ADC" w:rsidRDefault="00A03ADC" w:rsidP="00A03ADC">
      <w:pPr>
        <w:shd w:val="clear" w:color="auto" w:fill="FFFFFF"/>
        <w:spacing w:line="360" w:lineRule="auto"/>
        <w:ind w:left="14" w:right="53"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Подпрограмма представляет собой комплекс взаимоувязанных по ресурсам и срокам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мероприятий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основана на формируемых общероссийских принципах модернизации жилищно-коммунальной сферы. Поэтому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для  их осуществления требуется координация действий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федеральных, региональных и муниципальных органов власти. Она задействует в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решении поставленных задач также население, банки, коммерческие 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муниципальные организации.</w:t>
      </w:r>
    </w:p>
    <w:p w:rsidR="00A03ADC" w:rsidRDefault="00A03ADC" w:rsidP="00A03ADC">
      <w:pPr>
        <w:shd w:val="clear" w:color="auto" w:fill="FFFFFF"/>
        <w:spacing w:line="360" w:lineRule="auto"/>
        <w:ind w:left="19" w:right="48" w:firstLine="5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Решение задач Подпрограммы невозможно осуществить в рамках текущего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финансирования в сфере ЖКХ, она требует значительных и долговременных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затрат, что в условиях ограниченности бюджетных средств и сдерживания роста тарифов на жилищные и коммунальные услуги, требует максимально эффективного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использования имеющихся средств и ресурсов, применения специальных инструментов и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создания механизмов привлечения финансов для реализации Подпрограммы.</w:t>
      </w:r>
      <w:proofErr w:type="gramEnd"/>
    </w:p>
    <w:p w:rsidR="00A03ADC" w:rsidRDefault="00A03ADC" w:rsidP="00A03ADC">
      <w:pPr>
        <w:shd w:val="clear" w:color="auto" w:fill="FFFFFF"/>
        <w:spacing w:line="360" w:lineRule="auto"/>
        <w:ind w:left="29" w:right="53" w:firstLine="5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Краткосрочность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задач Подпрограммы определяет целесообразность использования для этого программно-целевого метода, поскольку сами задачи:</w:t>
      </w:r>
    </w:p>
    <w:p w:rsidR="00A03ADC" w:rsidRDefault="00A03ADC" w:rsidP="00A03ADC">
      <w:pPr>
        <w:shd w:val="clear" w:color="auto" w:fill="FFFFFF"/>
        <w:spacing w:line="360" w:lineRule="auto"/>
        <w:ind w:left="5" w:right="48"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входят в число приоритетов формирования федеральных целевых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программ, а их решение позволяет улучшить качество жизни населения,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предотвратить чрезвычайные ситуации, связанные с бесперебойным функционированием систем жизнеобеспечения, создать условия для устойчивого и эффективного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 хозяйства;</w:t>
      </w:r>
    </w:p>
    <w:p w:rsidR="00A03ADC" w:rsidRDefault="00A03ADC" w:rsidP="00A03ADC">
      <w:pPr>
        <w:shd w:val="clear" w:color="auto" w:fill="FFFFFF"/>
        <w:spacing w:line="360" w:lineRule="auto"/>
        <w:ind w:right="62" w:firstLine="7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носят межотраслевой и межведомственный характер и не могут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решены без участия федерального центра;</w:t>
      </w:r>
      <w:proofErr w:type="gramEnd"/>
    </w:p>
    <w:p w:rsidR="00A03ADC" w:rsidRDefault="00A03ADC" w:rsidP="00A03ADC">
      <w:pPr>
        <w:shd w:val="clear" w:color="auto" w:fill="FFFFFF"/>
        <w:spacing w:line="360" w:lineRule="auto"/>
        <w:ind w:left="72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 могут быть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решены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пределах одного финансового года и требуют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значительных бюджетных расходов;</w:t>
      </w:r>
    </w:p>
    <w:p w:rsidR="00A03ADC" w:rsidRDefault="00A03ADC" w:rsidP="00A03ADC">
      <w:pPr>
        <w:shd w:val="clear" w:color="auto" w:fill="FFFFFF"/>
        <w:spacing w:line="360" w:lineRule="auto"/>
        <w:ind w:left="82" w:right="10" w:firstLine="68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носят комплексный характер, а их решение окажет существенное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положительное влияние на социальное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благополучиеБольшецильнинского</w:t>
      </w:r>
      <w:proofErr w:type="spellEnd"/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сельского поселения Дрожжановского муниципального района, общее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экономическое развитие и рост производства;</w:t>
      </w:r>
    </w:p>
    <w:p w:rsidR="00A03ADC" w:rsidRDefault="00A03ADC" w:rsidP="00A03ADC">
      <w:pPr>
        <w:shd w:val="clear" w:color="auto" w:fill="FFFFFF"/>
        <w:spacing w:line="360" w:lineRule="auto"/>
        <w:ind w:left="82" w:right="10" w:firstLine="68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позволит снизить энергоемкость жилищно-коммунального хозяйства.</w:t>
      </w:r>
    </w:p>
    <w:p w:rsidR="00A03ADC" w:rsidRDefault="00A03ADC" w:rsidP="00A03ADC">
      <w:pPr>
        <w:shd w:val="clear" w:color="auto" w:fill="FFFFFF"/>
        <w:spacing w:line="360" w:lineRule="auto"/>
        <w:ind w:left="14" w:right="62"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обеспечения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Дрожжановского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lastRenderedPageBreak/>
        <w:t xml:space="preserve">муниципального района целью настоящей Подпрограммы является: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к 2016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году населению, предприятиям и организациям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Дрожжановского муниципального района доступными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коммунальными услугами нормативного качества при </w:t>
      </w:r>
      <w:r>
        <w:rPr>
          <w:rFonts w:ascii="Times New Roman" w:hAnsi="Times New Roman" w:cs="Times New Roman"/>
          <w:color w:val="000000"/>
          <w:sz w:val="28"/>
          <w:szCs w:val="28"/>
        </w:rPr>
        <w:t>надежной и эффективной работе коммунальной инфраструктуры. Соответственно цели основные задачи Программы определяются как:</w:t>
      </w:r>
    </w:p>
    <w:p w:rsidR="00A03ADC" w:rsidRDefault="00A03ADC" w:rsidP="00A03ADC">
      <w:pPr>
        <w:shd w:val="clear" w:color="auto" w:fill="FFFFFF"/>
        <w:spacing w:line="36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1. Повышение уровня благоустройства, эффективности производства и использования </w:t>
      </w:r>
      <w:r>
        <w:rPr>
          <w:rFonts w:ascii="Times New Roman" w:hAnsi="Times New Roman" w:cs="Times New Roman"/>
          <w:spacing w:val="4"/>
          <w:sz w:val="28"/>
          <w:szCs w:val="28"/>
        </w:rPr>
        <w:t>коммунальных ресурсов (тепл</w:t>
      </w:r>
      <w:proofErr w:type="gramStart"/>
      <w:r>
        <w:rPr>
          <w:rFonts w:ascii="Times New Roman" w:hAnsi="Times New Roman" w:cs="Times New Roman"/>
          <w:spacing w:val="4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pacing w:val="4"/>
          <w:sz w:val="28"/>
          <w:szCs w:val="28"/>
        </w:rPr>
        <w:t>, водо-, электро- газоснабжения и водоотведения)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, путем внедрения новых механизмов. </w:t>
      </w:r>
    </w:p>
    <w:p w:rsidR="00A03ADC" w:rsidRDefault="00A03ADC" w:rsidP="00A03ADC">
      <w:pPr>
        <w:shd w:val="clear" w:color="auto" w:fill="FFFFFF"/>
        <w:spacing w:line="360" w:lineRule="auto"/>
        <w:ind w:left="5" w:right="62" w:firstLine="69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2. Повышение эффективности и надежности работы коммунальной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инфраструктуры путем ее масштабной оптимизации и модернизации при обеспечении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доступности коммунальных ресурсов для потребителей.</w:t>
      </w:r>
    </w:p>
    <w:p w:rsidR="00A03ADC" w:rsidRDefault="00A03ADC" w:rsidP="00A03ADC">
      <w:pPr>
        <w:widowControl/>
        <w:autoSpaceDE/>
        <w:adjustRightInd/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ADC" w:rsidRDefault="00A03ADC" w:rsidP="00A03ADC">
      <w:pPr>
        <w:spacing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ООО «Коммунальные сети Дрожжаное» </w:t>
      </w:r>
      <w:r>
        <w:rPr>
          <w:rFonts w:ascii="Times New Roman" w:hAnsi="Times New Roman" w:cs="Times New Roman"/>
          <w:sz w:val="28"/>
          <w:szCs w:val="28"/>
        </w:rPr>
        <w:t xml:space="preserve">обслуживает 2 котельных: </w:t>
      </w:r>
    </w:p>
    <w:p w:rsidR="00A03ADC" w:rsidRDefault="00A03ADC" w:rsidP="00A03AD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средняя школа»;</w:t>
      </w:r>
    </w:p>
    <w:p w:rsidR="00A03ADC" w:rsidRDefault="00A03ADC" w:rsidP="00A03AD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СДК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культуры»;</w:t>
      </w:r>
    </w:p>
    <w:p w:rsidR="00A03ADC" w:rsidRDefault="00A03ADC" w:rsidP="00A03ADC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потребителями тепловой энергии является:  </w:t>
      </w:r>
    </w:p>
    <w:p w:rsidR="00A03ADC" w:rsidRDefault="00A03ADC" w:rsidP="00A03ADC">
      <w:pPr>
        <w:widowControl/>
        <w:autoSpaceDE/>
        <w:adjustRightInd/>
        <w:spacing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бюджет (100%) , </w:t>
      </w:r>
    </w:p>
    <w:p w:rsidR="00A03ADC" w:rsidRDefault="00A03ADC" w:rsidP="00A03ADC">
      <w:pPr>
        <w:widowControl/>
        <w:autoSpaceDE/>
        <w:adjustRightInd/>
        <w:spacing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ADC" w:rsidRDefault="00A03ADC" w:rsidP="00A03ADC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Баланс производства и потребления тепловой энергии в 2014 г.</w:t>
      </w:r>
    </w:p>
    <w:tbl>
      <w:tblPr>
        <w:tblW w:w="79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925"/>
        <w:gridCol w:w="1842"/>
        <w:gridCol w:w="2017"/>
      </w:tblGrid>
      <w:tr w:rsidR="00A03ADC" w:rsidTr="00A03ADC">
        <w:trPr>
          <w:trHeight w:val="261"/>
        </w:trPr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Теплоснабжающее предприятие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тепловой энергии,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Отпуск тепловой энергии,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A03ADC" w:rsidRDefault="00A03ADC">
            <w:pPr>
              <w:tabs>
                <w:tab w:val="left" w:pos="720"/>
              </w:tabs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Потребители</w:t>
            </w:r>
          </w:p>
        </w:tc>
      </w:tr>
      <w:tr w:rsidR="00A03ADC" w:rsidTr="00A03ADC">
        <w:trPr>
          <w:trHeight w:val="834"/>
        </w:trPr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организации, тыс. Гкал</w:t>
            </w:r>
          </w:p>
        </w:tc>
      </w:tr>
      <w:tr w:rsidR="00A03ADC" w:rsidTr="00A03ADC">
        <w:trPr>
          <w:trHeight w:val="54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«Коммунальные сети Дрожжаное»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</w:tr>
      <w:tr w:rsidR="00A03ADC" w:rsidTr="00A03ADC">
        <w:trPr>
          <w:trHeight w:val="28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</w:tr>
    </w:tbl>
    <w:p w:rsidR="00A03ADC" w:rsidRDefault="00A03ADC" w:rsidP="00A03ADC">
      <w:pPr>
        <w:widowControl/>
        <w:autoSpaceDE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ADC" w:rsidRDefault="00A03ADC" w:rsidP="00A03A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Модернизация источников тепловой энергии.</w:t>
      </w:r>
    </w:p>
    <w:p w:rsidR="00A03ADC" w:rsidRDefault="00A03ADC" w:rsidP="00A03AD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Надежной и экономичной работой котельных агрегатов является </w:t>
      </w:r>
      <w:r>
        <w:rPr>
          <w:rFonts w:ascii="Times New Roman" w:hAnsi="Times New Roman" w:cs="Times New Roman"/>
          <w:sz w:val="28"/>
        </w:rPr>
        <w:lastRenderedPageBreak/>
        <w:t xml:space="preserve">соблюдение водно-химического режима работы оборудования и сетей. Имеющиеся традиционные установки подготовки воды требуют больших капитальных и эксплуатационных затрат. Применение автоматизированных установок дозирования реагентов позволяет в значительной степени снизить эти затраты. При этом одновременно снижается коррозионная активность воды, постепенно удаляются ранее имевшиеся отложения, увеличивается срок эксплуатации оборудования и межремонтный период. 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Производятся модернизация котельных, которые позволяют увеличить отпуск тепла потребителям. Применение новых типов автоматики и газовых горелок, автоматизированных установок </w:t>
      </w:r>
      <w:proofErr w:type="spellStart"/>
      <w:r>
        <w:rPr>
          <w:rFonts w:ascii="Times New Roman" w:hAnsi="Times New Roman" w:cs="Times New Roman"/>
          <w:sz w:val="28"/>
        </w:rPr>
        <w:t>химводоподготовки</w:t>
      </w:r>
      <w:proofErr w:type="spellEnd"/>
      <w:r>
        <w:rPr>
          <w:rFonts w:ascii="Times New Roman" w:hAnsi="Times New Roman" w:cs="Times New Roman"/>
          <w:sz w:val="28"/>
        </w:rPr>
        <w:t xml:space="preserve">, насосы с частотно-регулируемым электроприводом дает возможность выполнить полную автоматизацию и диспетчеризацию котельных, что позволит снизить эксплуатационные расходы, себестоимость,  соответственно тариф на отпускаемую тепловую энергию. Будут проведены работы по замене котлов с низким КПД на газовые котлы с высоким КПД и установке приборов учета тепла в котельных объектов образования, здравоохранения и других бюджетных организаций. 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Замена котлов и приборов учета позволит сократить расход газа.  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модернизации котельных предлагается предусматривать применение насосных агрегатов современного и экономически выгодного производства взамен устарелых насосов.  </w:t>
      </w:r>
    </w:p>
    <w:p w:rsidR="00A03ADC" w:rsidRDefault="00A03ADC" w:rsidP="00A03ADC">
      <w:pPr>
        <w:spacing w:line="360" w:lineRule="auto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Адресный список модернизации теплоэнергетических объектов </w:t>
      </w:r>
    </w:p>
    <w:p w:rsidR="00A03ADC" w:rsidRDefault="00A03ADC" w:rsidP="00A03ADC">
      <w:pPr>
        <w:widowControl/>
        <w:autoSpaceDE/>
        <w:adjustRightInd/>
        <w:jc w:val="both"/>
        <w:rPr>
          <w:rFonts w:ascii="Times New Roman" w:hAnsi="Times New Roman" w:cs="Times New Roman"/>
          <w:b/>
          <w:bCs/>
        </w:rPr>
      </w:pPr>
    </w:p>
    <w:tbl>
      <w:tblPr>
        <w:tblW w:w="1047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103"/>
        <w:gridCol w:w="1559"/>
        <w:gridCol w:w="992"/>
        <w:gridCol w:w="1134"/>
        <w:gridCol w:w="1155"/>
      </w:tblGrid>
      <w:tr w:rsidR="00A03ADC" w:rsidTr="00A03ADC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инвестиции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Затраты по годам,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A03ADC" w:rsidTr="00A03ADC">
        <w:tc>
          <w:tcPr>
            <w:tcW w:w="5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 г.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3ADC" w:rsidTr="00A03AD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Замена газовых котлов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3ADC" w:rsidTr="00A03ADC"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теплоэнергетическому хозяйству: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03ADC" w:rsidRDefault="00A03ADC" w:rsidP="00A03ADC">
      <w:pPr>
        <w:widowControl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ADC" w:rsidRDefault="00A03ADC" w:rsidP="00A03ADC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 по теплоэнергетическому хозяйству: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400,00 тысяч </w:t>
      </w:r>
      <w:r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A03ADC" w:rsidRDefault="00A03ADC" w:rsidP="00A03ADC">
      <w:pPr>
        <w:jc w:val="center"/>
        <w:rPr>
          <w:rFonts w:ascii="Times New Roman" w:hAnsi="Times New Roman" w:cs="Courier New"/>
          <w:b/>
          <w:sz w:val="28"/>
          <w:szCs w:val="28"/>
        </w:rPr>
      </w:pPr>
    </w:p>
    <w:p w:rsidR="00A03ADC" w:rsidRDefault="00A03ADC" w:rsidP="00A03ADC">
      <w:pPr>
        <w:jc w:val="center"/>
        <w:rPr>
          <w:rFonts w:ascii="Times New Roman" w:hAnsi="Times New Roman" w:cs="Courier New"/>
          <w:b/>
          <w:sz w:val="28"/>
          <w:szCs w:val="28"/>
        </w:rPr>
      </w:pPr>
    </w:p>
    <w:p w:rsidR="00A03ADC" w:rsidRDefault="00A03ADC" w:rsidP="00A03ADC">
      <w:pPr>
        <w:jc w:val="center"/>
        <w:rPr>
          <w:rFonts w:ascii="Times New Roman" w:hAnsi="Times New Roman" w:cs="Courier New"/>
          <w:b/>
          <w:sz w:val="28"/>
          <w:szCs w:val="28"/>
        </w:rPr>
      </w:pPr>
      <w:r>
        <w:rPr>
          <w:rFonts w:ascii="Times New Roman" w:hAnsi="Times New Roman" w:cs="Courier New"/>
          <w:b/>
          <w:sz w:val="28"/>
          <w:szCs w:val="28"/>
        </w:rPr>
        <w:t xml:space="preserve">Ожидаемые результаты </w:t>
      </w:r>
    </w:p>
    <w:p w:rsidR="00A03ADC" w:rsidRDefault="00A03ADC" w:rsidP="00A03ADC"/>
    <w:p w:rsidR="00A03ADC" w:rsidRDefault="00A03ADC" w:rsidP="00A03ADC">
      <w:pPr>
        <w:tabs>
          <w:tab w:val="left" w:pos="0"/>
        </w:tabs>
        <w:spacing w:line="36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lastRenderedPageBreak/>
        <w:t xml:space="preserve">Снижение потребления газа; </w:t>
      </w:r>
    </w:p>
    <w:p w:rsidR="00A03ADC" w:rsidRDefault="00A03ADC" w:rsidP="00A03ADC">
      <w:pPr>
        <w:tabs>
          <w:tab w:val="left" w:pos="0"/>
        </w:tabs>
        <w:spacing w:line="36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Удельный расход электроэнергии на выработку 1 Гкал.</w:t>
      </w:r>
    </w:p>
    <w:p w:rsidR="00A03ADC" w:rsidRDefault="00A03ADC" w:rsidP="00A03ADC">
      <w:pPr>
        <w:tabs>
          <w:tab w:val="left" w:pos="0"/>
        </w:tabs>
        <w:spacing w:line="36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Снизятся потери при транспортировке; </w:t>
      </w:r>
    </w:p>
    <w:p w:rsidR="00A03ADC" w:rsidRDefault="00A03ADC" w:rsidP="00A03ADC">
      <w:pPr>
        <w:spacing w:line="360" w:lineRule="auto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Снижение эксплуатационных расходов;</w:t>
      </w:r>
    </w:p>
    <w:p w:rsidR="00A03ADC" w:rsidRDefault="00A03ADC" w:rsidP="00A03ADC">
      <w:pPr>
        <w:spacing w:line="360" w:lineRule="auto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 </w:t>
      </w:r>
    </w:p>
    <w:p w:rsidR="00A03ADC" w:rsidRDefault="00A03ADC" w:rsidP="00A03ADC">
      <w:pPr>
        <w:widowControl/>
        <w:autoSpaceDE/>
        <w:adjustRightInd/>
        <w:spacing w:line="36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Водопроводно-канализационное хозяйство</w:t>
      </w:r>
    </w:p>
    <w:p w:rsidR="00A03ADC" w:rsidRDefault="00A03ADC" w:rsidP="00A03A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Водоснабжение.</w:t>
      </w:r>
    </w:p>
    <w:p w:rsidR="00A03ADC" w:rsidRDefault="00A03ADC" w:rsidP="00A03ADC">
      <w:pPr>
        <w:shd w:val="clear" w:color="auto" w:fill="FFFFFF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Питьевая вода – необходимый элемент жизнеобеспечения населения, от ее качества и количества зависят здоровье людей и уровень санитарно-эпидемиологического благополучия. Проблема обеспечения населения питьевой водой нормативного качества и в достаточном количестве стала в настоящее время одной из главных и определяющих для многих регионов страны. Войти в программу «Чистая вода» 2015 году.</w:t>
      </w:r>
    </w:p>
    <w:p w:rsidR="00A03ADC" w:rsidRDefault="00A03ADC" w:rsidP="00A03AD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модернизации водопроводного хозяйства</w:t>
      </w:r>
    </w:p>
    <w:p w:rsidR="00A03ADC" w:rsidRDefault="00A03ADC" w:rsidP="00A03ADC">
      <w:pPr>
        <w:pStyle w:val="a6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Для решения проблемы по обеспечению качественным водоснабжением пользователей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разработать проектно-сметную документацию строительства водопроводных и канализационных сетей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поселении.  </w:t>
      </w:r>
    </w:p>
    <w:p w:rsidR="00A03ADC" w:rsidRDefault="00A03ADC" w:rsidP="00A03AD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мероприятий Программы будет способствовать: 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сохранению доступности коммунальных услуг для потребителей;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качества, надежности обслуживания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водоснабжения и водоотведения) </w:t>
      </w:r>
      <w:r>
        <w:rPr>
          <w:rFonts w:ascii="Times New Roman" w:hAnsi="Times New Roman" w:cs="Times New Roman"/>
          <w:sz w:val="28"/>
          <w:szCs w:val="28"/>
        </w:rPr>
        <w:t>потребителей;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 экологической безопасности производства услуг водоснабжения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водоотведения; 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привлекательности организаций коммунального комплекса. </w:t>
      </w:r>
    </w:p>
    <w:p w:rsidR="00A03ADC" w:rsidRDefault="00A03ADC" w:rsidP="00A03A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эффективность реализации Программы определяется как совокупность факторов: минимизации негативного воздействия на окружающую среду (с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нижение объемов выбросов и сбросов загрязняющих веществ в атмосферу 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водные объекты,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сокращение объема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утилизируемых отходов канализационных очистных сооружений),</w:t>
      </w:r>
      <w:r>
        <w:rPr>
          <w:rFonts w:ascii="Times New Roman" w:hAnsi="Times New Roman" w:cs="Times New Roman"/>
          <w:sz w:val="28"/>
          <w:szCs w:val="28"/>
        </w:rPr>
        <w:t xml:space="preserve"> привлечения инвестиций в коммунальный комплекс и р</w:t>
      </w:r>
      <w:r>
        <w:rPr>
          <w:rFonts w:ascii="Times New Roman" w:hAnsi="Times New Roman" w:cs="Times New Roman"/>
          <w:color w:val="000000"/>
          <w:sz w:val="28"/>
          <w:szCs w:val="28"/>
        </w:rPr>
        <w:t>ациональному использованию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ADC" w:rsidRDefault="00A03ADC" w:rsidP="00A03ADC">
      <w:pPr>
        <w:shd w:val="clear" w:color="auto" w:fill="FFFFFF"/>
        <w:spacing w:before="288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Управление отходами производства и потребления</w:t>
      </w:r>
    </w:p>
    <w:p w:rsidR="00A03ADC" w:rsidRDefault="00A03ADC" w:rsidP="00A03AD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Проведя анализ состояния дел по сбору, утилизации и переработки отходов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РТ, можно сделать вывод, что для дальнейшего развития позволяющей осуществлять 100 % сбор образующих отходов необходимо:</w:t>
      </w:r>
    </w:p>
    <w:p w:rsidR="00A03ADC" w:rsidRDefault="00A03ADC" w:rsidP="00A03ADC">
      <w:pPr>
        <w:pStyle w:val="ConsPlusNormal"/>
        <w:widowControl/>
        <w:spacing w:line="36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ADC" w:rsidRDefault="00A03ADC" w:rsidP="00A03ADC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контейнерных площадок, в кол-ве 20 шт.</w:t>
      </w:r>
    </w:p>
    <w:p w:rsidR="00A03ADC" w:rsidRDefault="00A03ADC" w:rsidP="00A03ADC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мусорных контейнеров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0,8 м3"/>
        </w:smartTagPr>
        <w:r>
          <w:rPr>
            <w:rFonts w:ascii="Times New Roman" w:hAnsi="Times New Roman" w:cs="Times New Roman"/>
            <w:sz w:val="28"/>
            <w:szCs w:val="28"/>
          </w:rPr>
          <w:t>0,8 м</w:t>
        </w:r>
        <w:r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 кол-ве 20 шт.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6230"/>
        <w:gridCol w:w="1447"/>
        <w:gridCol w:w="1449"/>
      </w:tblGrid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</w:p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реализации </w:t>
            </w:r>
          </w:p>
        </w:tc>
      </w:tr>
      <w:tr w:rsidR="00A03ADC" w:rsidTr="00A03AD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 комплексного управления отходами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контейнерных площадок кол-во 20 шт.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2014-2016 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мусорных контейнеров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0,8 м3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0,8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3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кол-ве 20 шт.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2014-2016 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биотермической ямы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550,0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Обваловка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ограждения площадки ТБО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Межевание площадки ТБО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3ADC" w:rsidRDefault="00A0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Итого: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ADC" w:rsidRDefault="00A03ADC" w:rsidP="00A03ADC">
      <w:pPr>
        <w:rPr>
          <w:rFonts w:ascii="Times New Roman" w:hAnsi="Times New Roman" w:cs="Times New Roman"/>
          <w:sz w:val="28"/>
          <w:szCs w:val="28"/>
        </w:rPr>
      </w:pPr>
    </w:p>
    <w:p w:rsidR="00A03ADC" w:rsidRDefault="00A03ADC" w:rsidP="00A03ADC">
      <w:pPr>
        <w:spacing w:line="360" w:lineRule="auto"/>
        <w:ind w:firstLine="9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счет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в области управления отходами должно быть достигнуто:</w:t>
      </w:r>
    </w:p>
    <w:p w:rsidR="00A03ADC" w:rsidRDefault="00A03ADC" w:rsidP="00A03AD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расходов на удаление ТБО, за счет сокращения количества отходов при внедрении селективного сбора;</w:t>
      </w:r>
    </w:p>
    <w:p w:rsidR="00A03ADC" w:rsidRDefault="00A03ADC" w:rsidP="00A03AD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снижение утилизируемых отходов на полигоне ТБО;</w:t>
      </w:r>
    </w:p>
    <w:p w:rsidR="00A03ADC" w:rsidRDefault="00A03ADC" w:rsidP="00A03AD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-ресурсосберегающих мероприятий за счет получения дешевого  вторичного сырья, для производства продуктов потребления;</w:t>
      </w:r>
    </w:p>
    <w:p w:rsidR="00A03ADC" w:rsidRDefault="00A03ADC" w:rsidP="00A03AD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экологической ситуации в регионе, за счет 100% охвата сбором и вывозом, образующихся отходов (ликвидация несанкционированных свалок).</w:t>
      </w:r>
    </w:p>
    <w:p w:rsidR="00A03ADC" w:rsidRDefault="00A03ADC" w:rsidP="00A03AD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ADC" w:rsidRDefault="00A03ADC" w:rsidP="00A03AD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DC" w:rsidRDefault="00A03ADC" w:rsidP="00A03AD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DC" w:rsidRDefault="00A03ADC" w:rsidP="00A03ADC">
      <w:pPr>
        <w:pStyle w:val="Style4"/>
        <w:ind w:firstLine="0"/>
        <w:rPr>
          <w:color w:val="000000"/>
          <w:spacing w:val="-2"/>
          <w:sz w:val="28"/>
          <w:szCs w:val="28"/>
        </w:rPr>
      </w:pPr>
    </w:p>
    <w:p w:rsidR="00125B3A" w:rsidRDefault="00125B3A"/>
    <w:sectPr w:rsidR="0012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40ADE"/>
    <w:multiLevelType w:val="hybridMultilevel"/>
    <w:tmpl w:val="37D2BE72"/>
    <w:lvl w:ilvl="0" w:tplc="9510286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4E"/>
    <w:rsid w:val="00125B3A"/>
    <w:rsid w:val="0066704E"/>
    <w:rsid w:val="00A0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3AD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03AD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03ADC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03AD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A03AD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3A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03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A03ADC"/>
    <w:pPr>
      <w:spacing w:line="312" w:lineRule="exact"/>
      <w:ind w:firstLine="67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111">
    <w:name w:val="s_111"/>
    <w:rsid w:val="00A03ADC"/>
    <w:rPr>
      <w:color w:val="008000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3AD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03AD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03ADC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03AD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A03AD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3A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03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A03ADC"/>
    <w:pPr>
      <w:spacing w:line="312" w:lineRule="exact"/>
      <w:ind w:firstLine="67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111">
    <w:name w:val="s_111"/>
    <w:rsid w:val="00A03ADC"/>
    <w:rPr>
      <w:color w:val="008000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2212</Words>
  <Characters>12612</Characters>
  <Application>Microsoft Office Word</Application>
  <DocSecurity>0</DocSecurity>
  <Lines>105</Lines>
  <Paragraphs>29</Paragraphs>
  <ScaleCrop>false</ScaleCrop>
  <Company>Большецильнинское СП</Company>
  <LinksUpToDate>false</LinksUpToDate>
  <CharactersWithSpaces>14795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2014-07-30T12:03:00Z</dcterms:created>
  <dcterms:modified xsi:type="dcterms:W3CDTF">2014-07-30T12:03:00Z</dcterms:modified>
</cp:coreProperties>
</file>